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D6" w:rsidRPr="006F47D6" w:rsidRDefault="006F47D6" w:rsidP="006F47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6F47D6">
        <w:rPr>
          <w:rFonts w:ascii="Arial" w:eastAsia="Times New Roman" w:hAnsi="Arial" w:cs="Arial"/>
          <w:sz w:val="23"/>
          <w:szCs w:val="23"/>
          <w:lang w:eastAsia="it-IT"/>
        </w:rPr>
        <w:t>Dal 1° luglio 2022 le imprese esportatrici verso la </w:t>
      </w:r>
      <w:r w:rsidRPr="006F47D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it-IT"/>
        </w:rPr>
        <w:t>GERMANIA</w:t>
      </w:r>
      <w:r w:rsidRPr="006F47D6">
        <w:rPr>
          <w:rFonts w:ascii="Arial" w:eastAsia="Times New Roman" w:hAnsi="Arial" w:cs="Arial"/>
          <w:sz w:val="23"/>
          <w:szCs w:val="23"/>
          <w:lang w:eastAsia="it-IT"/>
        </w:rPr>
        <w:t>, dovranno adempiere agli obblighi previsti dalla legge tedesca sugli </w:t>
      </w:r>
      <w:r w:rsidRPr="006F47D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it-IT"/>
        </w:rPr>
        <w:t>IMBALLAGGI</w:t>
      </w:r>
      <w:r w:rsidRPr="006F47D6">
        <w:rPr>
          <w:rFonts w:ascii="Arial" w:eastAsia="Times New Roman" w:hAnsi="Arial" w:cs="Arial"/>
          <w:sz w:val="23"/>
          <w:szCs w:val="23"/>
          <w:lang w:eastAsia="it-IT"/>
        </w:rPr>
        <w:t>, pena pesanti sanzioni pecuniarie (</w:t>
      </w:r>
      <w:r w:rsidRPr="006F47D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it-IT"/>
        </w:rPr>
        <w:t>fino a € 200.0000</w:t>
      </w:r>
      <w:r w:rsidRPr="006F47D6">
        <w:rPr>
          <w:rFonts w:ascii="Arial" w:eastAsia="Times New Roman" w:hAnsi="Arial" w:cs="Arial"/>
          <w:sz w:val="23"/>
          <w:szCs w:val="23"/>
          <w:lang w:eastAsia="it-IT"/>
        </w:rPr>
        <w:t>) e il divieto di vendita.</w:t>
      </w:r>
    </w:p>
    <w:p w:rsidR="006F47D6" w:rsidRPr="006F47D6" w:rsidRDefault="006F47D6" w:rsidP="006F47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6F47D6">
        <w:rPr>
          <w:rFonts w:ascii="Arial" w:eastAsia="Times New Roman" w:hAnsi="Arial" w:cs="Arial"/>
          <w:sz w:val="23"/>
          <w:szCs w:val="23"/>
          <w:lang w:eastAsia="it-IT"/>
        </w:rPr>
        <w:t>Gli obblighi sono un aggiornamento e un’estensione di quelli previsti da una legge entrata in vigore nel 2019, la “</w:t>
      </w:r>
      <w:proofErr w:type="spellStart"/>
      <w:r w:rsidRPr="006F47D6">
        <w:rPr>
          <w:rFonts w:ascii="Arial" w:eastAsia="Times New Roman" w:hAnsi="Arial" w:cs="Arial"/>
          <w:sz w:val="23"/>
          <w:szCs w:val="23"/>
          <w:lang w:eastAsia="it-IT"/>
        </w:rPr>
        <w:t>VerpackG</w:t>
      </w:r>
      <w:proofErr w:type="spellEnd"/>
      <w:r w:rsidRPr="006F47D6">
        <w:rPr>
          <w:rFonts w:ascii="Arial" w:eastAsia="Times New Roman" w:hAnsi="Arial" w:cs="Arial"/>
          <w:sz w:val="23"/>
          <w:szCs w:val="23"/>
          <w:lang w:eastAsia="it-IT"/>
        </w:rPr>
        <w:t>”, decreto sulla diminuzione ed il riciclaggio dei rifiuti di imballaggio. Nello specifico, gli adempimenti che in precedenza erano previste soltanto per il packaging destinato al solo consumatore finale (B2C), </w:t>
      </w:r>
      <w:r w:rsidRPr="006F47D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it-IT"/>
        </w:rPr>
        <w:t>da luglio verranno estese al settore B2B (business to business) e dunque l’intera filiera dell’esportazione sarà coinvolta</w:t>
      </w:r>
      <w:r w:rsidRPr="006F47D6">
        <w:rPr>
          <w:rFonts w:ascii="Arial" w:eastAsia="Times New Roman" w:hAnsi="Arial" w:cs="Arial"/>
          <w:sz w:val="23"/>
          <w:szCs w:val="23"/>
          <w:lang w:eastAsia="it-IT"/>
        </w:rPr>
        <w:t> </w:t>
      </w:r>
      <w:r w:rsidRPr="006F47D6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it-IT"/>
        </w:rPr>
        <w:t>(ad esempio imballaggi per il trasporto, imballaggi secondari non destinati al consumatore finale, imballaggi riutilizzabili ecc.)</w:t>
      </w:r>
    </w:p>
    <w:p w:rsidR="006F47D6" w:rsidRPr="006F47D6" w:rsidRDefault="006F47D6" w:rsidP="006F47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6F47D6">
        <w:rPr>
          <w:rFonts w:ascii="Arial" w:eastAsia="Times New Roman" w:hAnsi="Arial" w:cs="Arial"/>
          <w:sz w:val="23"/>
          <w:szCs w:val="23"/>
          <w:lang w:eastAsia="it-IT"/>
        </w:rPr>
        <w:t>Questa novità normativa riguarda </w:t>
      </w:r>
      <w:r w:rsidRPr="006F47D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it-IT"/>
        </w:rPr>
        <w:t>tutte le imprese che ESPORTANO i propri prodotti in Germania e</w:t>
      </w:r>
      <w:r w:rsidRPr="006F47D6">
        <w:rPr>
          <w:rFonts w:ascii="Arial" w:eastAsia="Times New Roman" w:hAnsi="Arial" w:cs="Arial"/>
          <w:sz w:val="23"/>
          <w:szCs w:val="23"/>
          <w:lang w:eastAsia="it-IT"/>
        </w:rPr>
        <w:t> </w:t>
      </w:r>
      <w:r w:rsidRPr="006F47D6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it-IT"/>
        </w:rPr>
        <w:t>tutto il canale dell’e-commerce.</w:t>
      </w:r>
    </w:p>
    <w:p w:rsidR="006F47D6" w:rsidRPr="006F47D6" w:rsidRDefault="006F47D6" w:rsidP="006F47D6">
      <w:pPr>
        <w:shd w:val="clear" w:color="auto" w:fill="FFFFFF"/>
        <w:spacing w:before="450" w:after="45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6F47D6">
        <w:rPr>
          <w:rFonts w:ascii="Arial" w:eastAsia="Times New Roman" w:hAnsi="Arial" w:cs="Arial"/>
          <w:sz w:val="23"/>
          <w:szCs w:val="23"/>
          <w:lang w:eastAsia="it-IT"/>
        </w:rPr>
        <w:t>Nello specifico le aziende esportatrici, in merito agli imballaggi delle merci esportate, devono rispettare i seguenti adempimenti</w:t>
      </w:r>
    </w:p>
    <w:p w:rsidR="006F47D6" w:rsidRPr="006F47D6" w:rsidRDefault="006F47D6" w:rsidP="006F47D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it-IT"/>
        </w:rPr>
      </w:pPr>
      <w:r w:rsidRPr="006F47D6">
        <w:rPr>
          <w:rFonts w:ascii="inherit" w:eastAsia="Times New Roman" w:hAnsi="inherit" w:cs="Arial"/>
          <w:color w:val="444444"/>
          <w:sz w:val="23"/>
          <w:szCs w:val="23"/>
          <w:lang w:eastAsia="it-IT"/>
        </w:rPr>
        <w:t>ISCRIZIONE NEL REGISTRO CENTRALE TEDESCO DEGLI IMBALLAGGI </w:t>
      </w:r>
      <w:r w:rsidRPr="006F47D6">
        <w:rPr>
          <w:rFonts w:ascii="inherit" w:eastAsia="Times New Roman" w:hAnsi="inherit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“LUCID”</w:t>
      </w:r>
    </w:p>
    <w:p w:rsidR="006F47D6" w:rsidRPr="006F47D6" w:rsidRDefault="006F47D6" w:rsidP="006F47D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it-IT"/>
        </w:rPr>
      </w:pPr>
      <w:r w:rsidRPr="006F47D6">
        <w:rPr>
          <w:rFonts w:ascii="inherit" w:eastAsia="Times New Roman" w:hAnsi="inherit" w:cs="Arial"/>
          <w:color w:val="444444"/>
          <w:sz w:val="23"/>
          <w:szCs w:val="23"/>
          <w:lang w:eastAsia="it-IT"/>
        </w:rPr>
        <w:t>AVERE UN CONTRATTO DI SMATIMENTO DEGLI IMBALLAGGI, QUINDI REGISTRAZIONE AD UN “SISTEMA DUALE” DI SMALTIMENTO CON I RELATIVI OBBLIGHI</w:t>
      </w:r>
      <w:r w:rsidRPr="006F47D6">
        <w:rPr>
          <w:rFonts w:ascii="inherit" w:eastAsia="Times New Roman" w:hAnsi="inherit" w:cs="Arial"/>
          <w:b/>
          <w:bCs/>
          <w:color w:val="444444"/>
          <w:sz w:val="23"/>
          <w:szCs w:val="23"/>
          <w:bdr w:val="none" w:sz="0" w:space="0" w:color="auto" w:frame="1"/>
          <w:lang w:eastAsia="it-IT"/>
        </w:rPr>
        <w:t> DI PARTECIPAZIONE AL SISTEMA</w:t>
      </w:r>
    </w:p>
    <w:p w:rsidR="006F47D6" w:rsidRPr="006F47D6" w:rsidRDefault="006F47D6" w:rsidP="006F47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6F47D6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it-IT"/>
        </w:rPr>
        <w:t>In Germania ci sono 11 sistemi duali di smaltimento, società private che operano sul territorio nazionale e che garantiscono un servizio di raccolta differenziata dei rifiuti da imballaggi. Offrono condizioni contrattuali diverse tra loro e si differenziano per il prezzo dello smaltimento dei singoli materiali.</w:t>
      </w:r>
    </w:p>
    <w:p w:rsidR="006F47D6" w:rsidRPr="006F47D6" w:rsidRDefault="006F47D6" w:rsidP="006F47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6F47D6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it-IT"/>
        </w:rPr>
        <w:t>Dal 1° luglio rientrano anche gli imballaggi destinati al settore b2b</w:t>
      </w:r>
      <w:r w:rsidRPr="006F47D6">
        <w:rPr>
          <w:rFonts w:ascii="Arial" w:eastAsia="Times New Roman" w:hAnsi="Arial" w:cs="Arial"/>
          <w:sz w:val="23"/>
          <w:szCs w:val="23"/>
          <w:lang w:eastAsia="it-IT"/>
        </w:rPr>
        <w:t> </w:t>
      </w:r>
      <w:r w:rsidRPr="006F47D6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it-IT"/>
        </w:rPr>
        <w:t>(es. trasporto)</w:t>
      </w:r>
    </w:p>
    <w:p w:rsidR="00FD77FA" w:rsidRDefault="00FD77FA">
      <w:bookmarkStart w:id="0" w:name="_GoBack"/>
      <w:bookmarkEnd w:id="0"/>
    </w:p>
    <w:sectPr w:rsidR="00FD7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6F16"/>
    <w:multiLevelType w:val="multilevel"/>
    <w:tmpl w:val="E26AB2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38"/>
    <w:rsid w:val="006F47D6"/>
    <w:rsid w:val="00736938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535B-A7ED-4560-AB34-AACA4AE7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2022-06-24T11:44:00Z</dcterms:created>
  <dcterms:modified xsi:type="dcterms:W3CDTF">2022-06-24T11:45:00Z</dcterms:modified>
</cp:coreProperties>
</file>